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87BE" w14:textId="65F81A72" w:rsidR="00C34946" w:rsidRPr="000716E3" w:rsidRDefault="000716E3" w:rsidP="000716E3">
      <w:pPr>
        <w:spacing w:after="0" w:line="240" w:lineRule="auto"/>
        <w:ind w:hanging="1276"/>
      </w:pPr>
      <w:bookmarkStart w:id="0" w:name="_GoBack"/>
      <w:bookmarkEnd w:id="0"/>
      <w:r>
        <w:rPr>
          <w:noProof/>
        </w:rPr>
        <w:drawing>
          <wp:inline distT="0" distB="0" distL="0" distR="0" wp14:anchorId="4CE04DDA" wp14:editId="39E0BF3F">
            <wp:extent cx="7267397" cy="10272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817" cy="1028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9D3C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1. Общие положения</w:t>
      </w:r>
    </w:p>
    <w:p w14:paraId="53CFECA0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 xml:space="preserve">Конкурс Республики Хакасия </w:t>
      </w:r>
      <w:r>
        <w:t>«Лучшая спортивная школа Республики Хакасия»</w:t>
      </w:r>
      <w:r>
        <w:rPr>
          <w:color w:val="000000"/>
          <w:lang w:eastAsia="ru-RU" w:bidi="ru-RU"/>
        </w:rPr>
        <w:t xml:space="preserve"> (далее - Конкурс) проводится Министерством физической культуры и спорта Республики Хакасия (далее - Минспорт Хакасии).</w:t>
      </w:r>
    </w:p>
    <w:p w14:paraId="6AB58A31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Конкурс проводится в целях стимулирования профессиональной деятельности спортсменов и тренеров в Республике Хакасия.</w:t>
      </w:r>
    </w:p>
    <w:p w14:paraId="5183725C" w14:textId="77777777" w:rsidR="00C34946" w:rsidRDefault="008B4CA4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Конкурс призван способствовать:</w:t>
      </w:r>
    </w:p>
    <w:p w14:paraId="3AC7173A" w14:textId="77777777" w:rsidR="00C34946" w:rsidRDefault="008B4CA4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- выявлению и поддержке организаций, осуществляющих спортивную подготовку;</w:t>
      </w:r>
    </w:p>
    <w:p w14:paraId="02D2E3D1" w14:textId="77777777" w:rsidR="00C34946" w:rsidRDefault="008B4CA4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- повышению профессионального мастерства и престижа тренеров системы подготовки спортивного резерва;</w:t>
      </w:r>
    </w:p>
    <w:p w14:paraId="6F7A70EF" w14:textId="77777777" w:rsidR="00C34946" w:rsidRDefault="008B4CA4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- мотивированию юных спортсменов;</w:t>
      </w:r>
    </w:p>
    <w:p w14:paraId="474B80E1" w14:textId="4C34CB67" w:rsidR="00C34946" w:rsidRDefault="008B4CA4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совершенствованию качества деятельности организаций, осуществляющих спортивную подготовку.</w:t>
      </w:r>
      <w:bookmarkStart w:id="1" w:name="bookmark2"/>
      <w:bookmarkStart w:id="2" w:name="bookmark3"/>
    </w:p>
    <w:p w14:paraId="206C1380" w14:textId="77777777" w:rsidR="00875FA0" w:rsidRPr="00875FA0" w:rsidRDefault="00875FA0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  <w:rPr>
          <w:color w:val="000000"/>
          <w:sz w:val="20"/>
          <w:szCs w:val="20"/>
          <w:lang w:eastAsia="ru-RU" w:bidi="ru-RU"/>
        </w:rPr>
      </w:pPr>
    </w:p>
    <w:p w14:paraId="369C127A" w14:textId="4F875E5E" w:rsidR="00C34946" w:rsidRDefault="008B4C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r>
        <w:t xml:space="preserve"> Порядок и срок проведения конкурса</w:t>
      </w:r>
    </w:p>
    <w:p w14:paraId="1C7DAAE3" w14:textId="77777777" w:rsidR="00C34946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Конкурсе принимают участие подведомственные учреждения Минспорта Хакасии, органов </w:t>
      </w:r>
      <w:r>
        <w:t>муниципальной власти в области физической культуры и спорта</w:t>
      </w:r>
      <w:r>
        <w:rPr>
          <w:color w:val="000000"/>
          <w:lang w:eastAsia="ru-RU" w:bidi="ru-RU"/>
        </w:rPr>
        <w:t xml:space="preserve">. Основными критериями по определению победителя Конкурса является результативность деятельности спортивной школы и результаты выступлений спортсменов, проходящих спортивную подготовку в спортивных школах на региональных, межрегиональных и всероссийских соревнованиях. </w:t>
      </w:r>
    </w:p>
    <w:p w14:paraId="1C1194C4" w14:textId="77777777" w:rsidR="00C34946" w:rsidRPr="00875FA0" w:rsidRDefault="00C34946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sz w:val="20"/>
          <w:szCs w:val="20"/>
          <w:lang w:eastAsia="ru-RU" w:bidi="ru-RU"/>
        </w:rPr>
      </w:pPr>
    </w:p>
    <w:p w14:paraId="6984F5EC" w14:textId="77777777" w:rsidR="00C34946" w:rsidRDefault="008B4CA4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 xml:space="preserve">3. </w:t>
      </w:r>
      <w:r>
        <w:rPr>
          <w:b/>
          <w:bCs/>
          <w:color w:val="000000"/>
          <w:lang w:eastAsia="ru-RU" w:bidi="ru-RU"/>
        </w:rPr>
        <w:t>Руководство проведением конкурса</w:t>
      </w:r>
      <w:bookmarkEnd w:id="1"/>
      <w:bookmarkEnd w:id="2"/>
    </w:p>
    <w:p w14:paraId="2CDB4CF5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Общее руководство подготовкой и проведением Конкурса осуществляется Минспортом Хакасии.</w:t>
      </w:r>
    </w:p>
    <w:p w14:paraId="74240DE5" w14:textId="77777777" w:rsidR="00C34946" w:rsidRDefault="008B4CA4">
      <w:pPr>
        <w:pStyle w:val="af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Полномочия Министерства, как организатора Конкурса, осуществляются ГАУ РХ «Центр спортивной подготовки сборных команд Республики Хакасия» (далее – ЦСП СК Хакасии) и ГБПОУ РХ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У(Т)ОР).</w:t>
      </w:r>
    </w:p>
    <w:p w14:paraId="2636018E" w14:textId="77777777" w:rsidR="00C34946" w:rsidRDefault="008B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>
        <w:rPr>
          <w:rFonts w:ascii="Times New Roman" w:hAnsi="Times New Roman" w:cs="Times New Roman"/>
          <w:sz w:val="26"/>
          <w:szCs w:val="26"/>
        </w:rPr>
        <w:t>Конкурса Республики Хакасия «Лучшая спортивная школа Республики Хакасия»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Минспортом Хакасии формируется конкурсная Комиссия.</w:t>
      </w:r>
    </w:p>
    <w:p w14:paraId="00E665B4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У(Т)ОР отвечает за сбор и передачу информации в конкурсную Комиссию. </w:t>
      </w:r>
    </w:p>
    <w:p w14:paraId="21D857F3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ЦСП СК Хакасии осуществляет расходы, связанные с организацией и проведением Конкурса. </w:t>
      </w:r>
    </w:p>
    <w:p w14:paraId="03B2C98B" w14:textId="5B279D16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  <w:r>
        <w:rPr>
          <w:color w:val="000000" w:themeColor="text1"/>
        </w:rPr>
        <w:t>Каждый участник конкурсной Комиссии производит оценивание материалов и сдает секретарю конкурсной Комиссии. Секретарь конкурсной Комиссии формирует итоговый протокол и производит подсчет баллов и направляет итоговый протокол в Минспорт Хакасии.</w:t>
      </w:r>
      <w:r>
        <w:rPr>
          <w:b/>
          <w:bCs/>
          <w:color w:val="000000"/>
          <w:lang w:eastAsia="ru-RU" w:bidi="ru-RU"/>
        </w:rPr>
        <w:t xml:space="preserve"> </w:t>
      </w:r>
    </w:p>
    <w:p w14:paraId="19C24098" w14:textId="77777777" w:rsidR="00875FA0" w:rsidRPr="00875FA0" w:rsidRDefault="00875FA0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sz w:val="20"/>
          <w:szCs w:val="20"/>
          <w:lang w:eastAsia="ru-RU" w:bidi="ru-RU"/>
        </w:rPr>
      </w:pPr>
    </w:p>
    <w:p w14:paraId="4BE2FD11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4. Участники конкурса и порядок определения победителей</w:t>
      </w:r>
    </w:p>
    <w:p w14:paraId="5E134B1E" w14:textId="77777777" w:rsidR="00C34946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 w:themeColor="text1"/>
          <w:lang w:eastAsia="ru-RU" w:bidi="ru-RU"/>
        </w:rPr>
        <w:t xml:space="preserve">Участники Конкурса: физкультурно-спортивные организации юридические лица независимо от их организационно-правовой </w:t>
      </w:r>
      <w:r>
        <w:rPr>
          <w:color w:val="000000"/>
          <w:lang w:eastAsia="ru-RU" w:bidi="ru-RU"/>
        </w:rPr>
        <w:t>формы, осуществляющие деятельность в области физической культуры и спорта, реализующие программы спортивной подготовки в соответствии с федеральными стандартами спортивной подготовки в качестве одного из основных видов деятельности (далее - спортивная школа).</w:t>
      </w:r>
    </w:p>
    <w:p w14:paraId="2535A4DA" w14:textId="64DA790C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lang w:eastAsia="ru-RU" w:bidi="ru-RU"/>
        </w:rPr>
      </w:pPr>
      <w:r w:rsidRPr="00875FA0">
        <w:rPr>
          <w:lang w:eastAsia="ru-RU" w:bidi="ru-RU"/>
        </w:rPr>
        <w:t xml:space="preserve">Победители определяются в </w:t>
      </w:r>
      <w:r w:rsidR="00AF27C4" w:rsidRPr="00875FA0">
        <w:rPr>
          <w:lang w:eastAsia="ru-RU" w:bidi="ru-RU"/>
        </w:rPr>
        <w:t>двух</w:t>
      </w:r>
      <w:r w:rsidRPr="00875FA0">
        <w:rPr>
          <w:lang w:eastAsia="ru-RU" w:bidi="ru-RU"/>
        </w:rPr>
        <w:t xml:space="preserve"> категориях:</w:t>
      </w:r>
    </w:p>
    <w:p w14:paraId="160208B4" w14:textId="4093F93A" w:rsidR="00C34946" w:rsidRPr="00875FA0" w:rsidRDefault="008B4CA4">
      <w:pPr>
        <w:pStyle w:val="1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lang w:eastAsia="ru-RU" w:bidi="ru-RU"/>
        </w:rPr>
      </w:pPr>
      <w:r w:rsidRPr="00875FA0">
        <w:rPr>
          <w:lang w:eastAsia="ru-RU" w:bidi="ru-RU"/>
        </w:rPr>
        <w:t xml:space="preserve">«Лучшая спортивная школа среди муниципальных районов» - </w:t>
      </w:r>
      <w:r w:rsidR="00875FA0" w:rsidRPr="00875FA0">
        <w:rPr>
          <w:lang w:eastAsia="ru-RU" w:bidi="ru-RU"/>
        </w:rPr>
        <w:t>3</w:t>
      </w:r>
      <w:r w:rsidRPr="00875FA0">
        <w:rPr>
          <w:lang w:eastAsia="ru-RU" w:bidi="ru-RU"/>
        </w:rPr>
        <w:t xml:space="preserve"> лауреат</w:t>
      </w:r>
      <w:r w:rsidR="00875FA0" w:rsidRPr="00875FA0">
        <w:rPr>
          <w:lang w:eastAsia="ru-RU" w:bidi="ru-RU"/>
        </w:rPr>
        <w:t>а</w:t>
      </w:r>
      <w:r w:rsidRPr="00875FA0">
        <w:rPr>
          <w:lang w:eastAsia="ru-RU" w:bidi="ru-RU"/>
        </w:rPr>
        <w:t>;</w:t>
      </w:r>
    </w:p>
    <w:p w14:paraId="67149C22" w14:textId="2186C484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lang w:eastAsia="ru-RU" w:bidi="ru-RU"/>
        </w:rPr>
      </w:pPr>
      <w:r w:rsidRPr="00875FA0">
        <w:rPr>
          <w:lang w:eastAsia="ru-RU" w:bidi="ru-RU"/>
        </w:rPr>
        <w:t xml:space="preserve">2. «Лучшая спортивная школа среди городских округов» - </w:t>
      </w:r>
      <w:r w:rsidR="00875FA0" w:rsidRPr="00875FA0">
        <w:rPr>
          <w:lang w:eastAsia="ru-RU" w:bidi="ru-RU"/>
        </w:rPr>
        <w:t>3</w:t>
      </w:r>
      <w:r w:rsidRPr="00875FA0">
        <w:rPr>
          <w:lang w:eastAsia="ru-RU" w:bidi="ru-RU"/>
        </w:rPr>
        <w:t xml:space="preserve"> лауреат</w:t>
      </w:r>
      <w:r w:rsidR="00875FA0" w:rsidRPr="00875FA0">
        <w:rPr>
          <w:lang w:eastAsia="ru-RU" w:bidi="ru-RU"/>
        </w:rPr>
        <w:t>а</w:t>
      </w:r>
      <w:r w:rsidR="00BB2E95" w:rsidRPr="00875FA0">
        <w:rPr>
          <w:lang w:eastAsia="ru-RU" w:bidi="ru-RU"/>
        </w:rPr>
        <w:t>.</w:t>
      </w:r>
    </w:p>
    <w:p w14:paraId="61F08651" w14:textId="77777777" w:rsidR="00875FA0" w:rsidRDefault="00875FA0">
      <w:pPr>
        <w:pStyle w:val="1"/>
        <w:shd w:val="clear" w:color="auto" w:fill="auto"/>
        <w:spacing w:line="240" w:lineRule="auto"/>
        <w:ind w:firstLine="580"/>
        <w:contextualSpacing/>
        <w:jc w:val="both"/>
      </w:pPr>
    </w:p>
    <w:p w14:paraId="207F47D4" w14:textId="77777777" w:rsidR="00875FA0" w:rsidRDefault="00875FA0">
      <w:pPr>
        <w:pStyle w:val="1"/>
        <w:shd w:val="clear" w:color="auto" w:fill="auto"/>
        <w:spacing w:line="240" w:lineRule="auto"/>
        <w:ind w:firstLine="580"/>
        <w:contextualSpacing/>
        <w:jc w:val="both"/>
      </w:pPr>
    </w:p>
    <w:p w14:paraId="6DB8C4BB" w14:textId="635DCC9B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lang w:eastAsia="ru-RU" w:bidi="ru-RU"/>
        </w:rPr>
      </w:pPr>
      <w:r w:rsidRPr="00875FA0">
        <w:lastRenderedPageBreak/>
        <w:t xml:space="preserve">Организации, относящиеся к федеральному уровню осуществляющие развитие физической культуры и спорта на территории Республики Хакасии, допускаются к участию в категории </w:t>
      </w:r>
      <w:r w:rsidRPr="00875FA0">
        <w:rPr>
          <w:lang w:eastAsia="ru-RU" w:bidi="ru-RU"/>
        </w:rPr>
        <w:t>«Лучшая спортивная школа</w:t>
      </w:r>
      <w:r w:rsidR="00795FA9" w:rsidRPr="00875FA0">
        <w:rPr>
          <w:lang w:eastAsia="ru-RU" w:bidi="ru-RU"/>
        </w:rPr>
        <w:t xml:space="preserve"> среди городских округов</w:t>
      </w:r>
      <w:r w:rsidRPr="00875FA0">
        <w:rPr>
          <w:lang w:eastAsia="ru-RU" w:bidi="ru-RU"/>
        </w:rPr>
        <w:t>».</w:t>
      </w:r>
    </w:p>
    <w:p w14:paraId="64602873" w14:textId="0F210E93" w:rsidR="00C34946" w:rsidRPr="00875FA0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Победитель определяется по наибольшей сумме очков, начисляемых за осуществление деятельности спортивной школы и за места занятые спортсменами спортивной школы на спортивных соревнованиях за период с 01.10.2022 по 30.10.2023.</w:t>
      </w:r>
    </w:p>
    <w:p w14:paraId="57FCC0FB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Участники Конкурса оцениваются по следующим критериям:</w:t>
      </w:r>
    </w:p>
    <w:p w14:paraId="16844B08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b/>
          <w:bCs/>
          <w:color w:val="000000"/>
          <w:lang w:eastAsia="ru-RU" w:bidi="ru-RU"/>
        </w:rPr>
        <w:t>Организационно-методическая работа:</w:t>
      </w:r>
    </w:p>
    <w:p w14:paraId="6C3F3052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- р</w:t>
      </w:r>
      <w:r w:rsidRPr="00875FA0">
        <w:rPr>
          <w:rFonts w:eastAsia="Calibri"/>
          <w:color w:val="000000"/>
        </w:rPr>
        <w:t>азработка программы развития учреждения, других программ;</w:t>
      </w:r>
    </w:p>
    <w:p w14:paraId="4F2D9F64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875FA0">
        <w:rPr>
          <w:rFonts w:eastAsia="Calibri"/>
          <w:color w:val="000000"/>
        </w:rPr>
        <w:t>- публикации методической направленности (книги, брошюры, учебно-методические пособия);</w:t>
      </w:r>
    </w:p>
    <w:p w14:paraId="2448A4DC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875FA0">
        <w:rPr>
          <w:rFonts w:eastAsia="Calibri"/>
          <w:color w:val="000000"/>
        </w:rPr>
        <w:t>- систематическое размещение актуальной информации в социальных сетях учреждения;</w:t>
      </w:r>
    </w:p>
    <w:p w14:paraId="11E9441F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b/>
          <w:bCs/>
          <w:color w:val="000000"/>
        </w:rPr>
        <w:t>Кадровый потенциал:</w:t>
      </w:r>
    </w:p>
    <w:p w14:paraId="3CE71594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b/>
          <w:bCs/>
          <w:color w:val="000000"/>
        </w:rPr>
        <w:t xml:space="preserve">- </w:t>
      </w:r>
      <w:r w:rsidRPr="00875FA0">
        <w:rPr>
          <w:rFonts w:eastAsia="Calibri"/>
          <w:color w:val="000000"/>
        </w:rPr>
        <w:t>доля штатных тренеров, имеющих высшую и первую квалификационную категорию (от общего количества тренеров в учреждении);</w:t>
      </w:r>
    </w:p>
    <w:p w14:paraId="0833B113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b/>
          <w:bCs/>
          <w:color w:val="000000"/>
        </w:rPr>
        <w:t>Организация и проведение:</w:t>
      </w:r>
    </w:p>
    <w:p w14:paraId="421CE55E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color w:val="000000"/>
        </w:rPr>
        <w:t>- всероссийских соревнований по видам спорта;</w:t>
      </w:r>
    </w:p>
    <w:p w14:paraId="69981B37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color w:val="000000"/>
        </w:rPr>
        <w:t>- межрегиональных соревнований (СФО) по видам спорта;</w:t>
      </w:r>
    </w:p>
    <w:p w14:paraId="0B59058B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b/>
          <w:bCs/>
        </w:rPr>
      </w:pPr>
      <w:r w:rsidRPr="00875FA0">
        <w:rPr>
          <w:rFonts w:eastAsia="Calibri"/>
          <w:color w:val="000000"/>
        </w:rPr>
        <w:t>- республиканских соревнований по видам спорта (включенных в календарный план физкультурных мероприятий и спортивных мероприятий Республики Хакасия);</w:t>
      </w:r>
    </w:p>
    <w:p w14:paraId="713662EF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</w:pPr>
      <w:r w:rsidRPr="00875FA0">
        <w:rPr>
          <w:rFonts w:eastAsia="Calibri"/>
          <w:color w:val="000000"/>
        </w:rPr>
        <w:t>- муниципальных соревнований (включенных в календарный план физкультурных мероприятий и спортивных мероприятий муниципального образования Республики Хакасия).</w:t>
      </w:r>
    </w:p>
    <w:p w14:paraId="4E7E68EE" w14:textId="77777777" w:rsidR="00C34946" w:rsidRPr="00875FA0" w:rsidRDefault="008B4CA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Список победителей Конкурса до торжественной церемонии награждения не оглашается.</w:t>
      </w:r>
    </w:p>
    <w:p w14:paraId="628C40E9" w14:textId="77777777" w:rsidR="00C34946" w:rsidRPr="00875FA0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875FA0">
        <w:rPr>
          <w:color w:val="000000"/>
          <w:lang w:eastAsia="ru-RU" w:bidi="ru-RU"/>
        </w:rPr>
        <w:t xml:space="preserve">Комиссия рассматривает представленные материалы, подводит итоги Конкурса и определяет трех победителей в номинациях на звание </w:t>
      </w:r>
      <w:r w:rsidRPr="00875FA0">
        <w:t>«Лучшая спортивная школа Республики Хакасия»</w:t>
      </w:r>
      <w:r w:rsidRPr="00875FA0">
        <w:rPr>
          <w:color w:val="000000"/>
          <w:lang w:eastAsia="ru-RU" w:bidi="ru-RU"/>
        </w:rPr>
        <w:t>.</w:t>
      </w:r>
    </w:p>
    <w:p w14:paraId="39A30B4E" w14:textId="77777777" w:rsidR="00C34946" w:rsidRPr="00875FA0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В случае равного распределения очков членами Комиссии могут быть введены дополнительные критерии определения победителей.</w:t>
      </w:r>
    </w:p>
    <w:p w14:paraId="3EF56EF3" w14:textId="77777777" w:rsidR="00C34946" w:rsidRPr="00875FA0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 w:rsidRPr="00875FA0">
        <w:rPr>
          <w:color w:val="000000"/>
          <w:lang w:eastAsia="ru-RU" w:bidi="ru-RU"/>
        </w:rPr>
        <w:t>Решения Комиссии оформляются протоколом. Протокол подписывается членами Комиссии.</w:t>
      </w:r>
      <w:bookmarkStart w:id="3" w:name="bookmark12"/>
      <w:bookmarkStart w:id="4" w:name="bookmark13"/>
    </w:p>
    <w:p w14:paraId="68AE4248" w14:textId="77777777" w:rsidR="00C34946" w:rsidRDefault="008B4CA4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5. Порядок подачи заявок на участие в конкурсе.</w:t>
      </w:r>
    </w:p>
    <w:p w14:paraId="0031B47A" w14:textId="77777777" w:rsidR="00C34946" w:rsidRDefault="008B4CA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bCs/>
        </w:rPr>
      </w:pPr>
      <w:r>
        <w:rPr>
          <w:rFonts w:eastAsia="Courier New"/>
          <w:color w:val="000000" w:themeColor="text1"/>
          <w:lang w:eastAsia="ru-RU" w:bidi="ru-RU"/>
        </w:rPr>
        <w:t>К</w:t>
      </w:r>
      <w:r>
        <w:rPr>
          <w:rFonts w:eastAsia="Courier New"/>
          <w:color w:val="000000"/>
          <w:lang w:eastAsia="ru-RU" w:bidi="ru-RU"/>
        </w:rPr>
        <w:t xml:space="preserve">онкурсные материалы на участника Конкурса с пометкой «Лучшая спортивная школа» направляют  в ГБПОУ РХ У(Т)ОР по адресу: 655004, г. Абакан, ул. Пушкина, 190 органами местного самоуправления Республики Хакасия в области физической культуры и спорта  </w:t>
      </w:r>
      <w:r>
        <w:rPr>
          <w:rFonts w:eastAsia="Courier New"/>
          <w:b/>
          <w:bCs/>
          <w:color w:val="000000"/>
          <w:lang w:eastAsia="ru-RU" w:bidi="ru-RU"/>
        </w:rPr>
        <w:t>до 01 декабря 2023 года</w:t>
      </w:r>
      <w:r>
        <w:rPr>
          <w:rFonts w:eastAsia="Courier New"/>
          <w:color w:val="000000"/>
          <w:lang w:eastAsia="ru-RU" w:bidi="ru-RU"/>
        </w:rPr>
        <w:t>, а также с нарушением требований к ним (не в полном объеме), рассматриваться не будут.</w:t>
      </w:r>
    </w:p>
    <w:p w14:paraId="0DE56A84" w14:textId="77777777" w:rsidR="00C34946" w:rsidRDefault="008B4CA4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1. Заявка по форме согласно Приложения 1, заверенная подписью руководителя подведомственного учреждения Минспорта Хакасии, органа управления физической культурой и спортом муниципальных районов и городских округов Республики Хакасия;</w:t>
      </w:r>
    </w:p>
    <w:p w14:paraId="3533F44A" w14:textId="77777777" w:rsidR="00C34946" w:rsidRDefault="008B4CA4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2. Решение (протокол, приказ) о выдвижении спортивной школы на конкурс, подписанное руководителем и заверенное печатью;</w:t>
      </w:r>
    </w:p>
    <w:p w14:paraId="252F94C8" w14:textId="77777777" w:rsidR="00C34946" w:rsidRDefault="008B4CA4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3. Документы, подтверждающие результативность деятельности спортивной школы, сведения о результатах выступлений спортсменов спортивной школы на соревнованиях за период с 01.10.2022 по 30.10.2023 согласно Приложения 2 и по форме, указанной в Приложении 3.</w:t>
      </w:r>
    </w:p>
    <w:p w14:paraId="09821E2A" w14:textId="77777777" w:rsidR="00875FA0" w:rsidRDefault="00875FA0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/>
          <w:u w:val="single"/>
          <w:lang w:eastAsia="ru-RU" w:bidi="ru-RU"/>
        </w:rPr>
      </w:pPr>
    </w:p>
    <w:p w14:paraId="2AD3C053" w14:textId="77777777" w:rsidR="00875FA0" w:rsidRDefault="00875FA0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/>
          <w:u w:val="single"/>
          <w:lang w:eastAsia="ru-RU" w:bidi="ru-RU"/>
        </w:rPr>
      </w:pPr>
    </w:p>
    <w:p w14:paraId="2D6B76CD" w14:textId="5FCBDC6A" w:rsidR="00C34946" w:rsidRDefault="008B4CA4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 w:themeColor="text1"/>
          <w:lang w:bidi="en-US"/>
        </w:rPr>
      </w:pPr>
      <w:r>
        <w:rPr>
          <w:color w:val="000000"/>
          <w:u w:val="single"/>
          <w:lang w:eastAsia="ru-RU" w:bidi="ru-RU"/>
        </w:rPr>
        <w:lastRenderedPageBreak/>
        <w:t xml:space="preserve">Все документы (в формате </w:t>
      </w:r>
      <w:r>
        <w:rPr>
          <w:color w:val="000000"/>
          <w:u w:val="single"/>
          <w:lang w:val="en-US" w:bidi="en-US"/>
        </w:rPr>
        <w:t>Word</w:t>
      </w:r>
      <w:r>
        <w:rPr>
          <w:color w:val="000000"/>
          <w:u w:val="single"/>
          <w:lang w:bidi="en-US"/>
        </w:rPr>
        <w:t xml:space="preserve"> </w:t>
      </w:r>
      <w:r>
        <w:rPr>
          <w:color w:val="000000"/>
          <w:u w:val="single"/>
          <w:lang w:eastAsia="ru-RU" w:bidi="ru-RU"/>
        </w:rPr>
        <w:t xml:space="preserve">и </w:t>
      </w:r>
      <w:r>
        <w:rPr>
          <w:color w:val="000000"/>
          <w:u w:val="single"/>
          <w:lang w:val="en-US" w:bidi="en-US"/>
        </w:rPr>
        <w:t>PDF</w:t>
      </w:r>
      <w:r>
        <w:rPr>
          <w:color w:val="000000"/>
          <w:u w:val="single"/>
          <w:lang w:bidi="en-US"/>
        </w:rPr>
        <w:t xml:space="preserve">) </w:t>
      </w:r>
      <w:r>
        <w:rPr>
          <w:color w:val="000000"/>
          <w:u w:val="single"/>
          <w:lang w:eastAsia="ru-RU" w:bidi="ru-RU"/>
        </w:rPr>
        <w:t>и фото в обязательном порядке дублируются</w:t>
      </w:r>
      <w:r>
        <w:rPr>
          <w:color w:val="000000"/>
          <w:lang w:eastAsia="ru-RU" w:bidi="ru-RU"/>
        </w:rPr>
        <w:t xml:space="preserve"> </w:t>
      </w:r>
      <w:r>
        <w:rPr>
          <w:color w:val="000000" w:themeColor="text1"/>
          <w:lang w:eastAsia="ru-RU" w:bidi="ru-RU"/>
        </w:rPr>
        <w:t xml:space="preserve">на адрес электронной почты: </w:t>
      </w:r>
      <w:hyperlink r:id="rId9">
        <w:bookmarkStart w:id="5" w:name="_Hlk87274313"/>
        <w:r>
          <w:rPr>
            <w:rStyle w:val="ae"/>
            <w:color w:val="000000" w:themeColor="text1"/>
            <w:lang w:val="en-US" w:eastAsia="ru-RU" w:bidi="ru-RU"/>
          </w:rPr>
          <w:t>remc</w:t>
        </w:r>
        <w:r>
          <w:rPr>
            <w:rStyle w:val="ae"/>
            <w:color w:val="000000" w:themeColor="text1"/>
          </w:rPr>
          <w:t>@</w:t>
        </w:r>
        <w:r>
          <w:rPr>
            <w:rStyle w:val="ae"/>
            <w:color w:val="000000" w:themeColor="text1"/>
            <w:lang w:val="en-US"/>
          </w:rPr>
          <w:t>olimp</w:t>
        </w:r>
        <w:r>
          <w:rPr>
            <w:rStyle w:val="ae"/>
            <w:color w:val="000000" w:themeColor="text1"/>
          </w:rPr>
          <w:t>19.ru</w:t>
        </w:r>
      </w:hyperlink>
      <w:bookmarkEnd w:id="5"/>
      <w:r>
        <w:rPr>
          <w:color w:val="000000" w:themeColor="text1"/>
          <w:lang w:bidi="en-US"/>
        </w:rPr>
        <w:t xml:space="preserve">. </w:t>
      </w:r>
    </w:p>
    <w:p w14:paraId="0EB96E84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Конкурсные материалы, поступившие в У(Т)ОР </w:t>
      </w:r>
      <w:r>
        <w:rPr>
          <w:b/>
          <w:color w:val="000000" w:themeColor="text1"/>
          <w:lang w:eastAsia="ru-RU" w:bidi="ru-RU"/>
        </w:rPr>
        <w:t>позднее 01 декабря 2023 года</w:t>
      </w:r>
      <w:r>
        <w:rPr>
          <w:color w:val="000000" w:themeColor="text1"/>
          <w:lang w:eastAsia="ru-RU" w:bidi="ru-RU"/>
        </w:rPr>
        <w:t>, а также с нарушением требований к ним (не в полном объеме), рассматриваться не будут.</w:t>
      </w:r>
    </w:p>
    <w:p w14:paraId="7AD181D6" w14:textId="77777777" w:rsidR="00C34946" w:rsidRDefault="008B4CA4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В случае выявления подачи документов, содержащих недостоверные данные, спортивная школа автоматически снимается с участия в Конкурсе.</w:t>
      </w:r>
    </w:p>
    <w:p w14:paraId="526EDE4F" w14:textId="77777777" w:rsidR="00C34946" w:rsidRDefault="00C3494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</w:p>
    <w:p w14:paraId="02536860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6. Награждение</w:t>
      </w:r>
      <w:bookmarkEnd w:id="3"/>
      <w:bookmarkEnd w:id="4"/>
    </w:p>
    <w:p w14:paraId="54D7DF06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Торжественная церемония награждения победителей Конкурса в соответствующих категориях состоится в декабре 2023 года.</w:t>
      </w:r>
    </w:p>
    <w:p w14:paraId="7893D334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Победители Конкурса в каждой номинации награждаются ценными призами и памятными подарками Минспорта Хакасии.</w:t>
      </w:r>
    </w:p>
    <w:p w14:paraId="5A1A638E" w14:textId="77777777" w:rsidR="00C34946" w:rsidRDefault="00C3494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</w:p>
    <w:p w14:paraId="416A2D8E" w14:textId="77777777" w:rsidR="00C34946" w:rsidRDefault="008B4CA4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Условия финансирования</w:t>
      </w:r>
    </w:p>
    <w:p w14:paraId="21627ACD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  <w:r>
        <w:br w:type="page"/>
      </w:r>
    </w:p>
    <w:p w14:paraId="5A0DD89F" w14:textId="77777777" w:rsidR="00C34946" w:rsidRDefault="008B4CA4">
      <w:pPr>
        <w:pStyle w:val="1"/>
        <w:shd w:val="clear" w:color="auto" w:fill="auto"/>
        <w:spacing w:line="240" w:lineRule="auto"/>
        <w:ind w:firstLine="720"/>
        <w:contextualSpacing/>
        <w:jc w:val="right"/>
      </w:pPr>
      <w:r>
        <w:lastRenderedPageBreak/>
        <w:t>Приложение 1</w:t>
      </w:r>
    </w:p>
    <w:p w14:paraId="603C36E8" w14:textId="77777777" w:rsidR="00C34946" w:rsidRDefault="00C34946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011358BF" w14:textId="77777777" w:rsidR="00C34946" w:rsidRDefault="008B4C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Конкурсе Республики Хакасия</w:t>
      </w:r>
    </w:p>
    <w:p w14:paraId="5E405188" w14:textId="77777777" w:rsidR="00C34946" w:rsidRDefault="008B4C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«Лучшая спортивная школа Республики Хакасия»</w:t>
      </w:r>
    </w:p>
    <w:p w14:paraId="6484A672" w14:textId="77777777" w:rsidR="00C34946" w:rsidRDefault="00C349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FF25920" w14:textId="77777777" w:rsidR="00C34946" w:rsidRDefault="008B4CA4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6" w:name="bookmark28"/>
      <w:bookmarkStart w:id="7" w:name="bookmark29"/>
      <w:r>
        <w:rPr>
          <w:color w:val="000000"/>
          <w:lang w:eastAsia="ru-RU" w:bidi="ru-RU"/>
        </w:rPr>
        <w:t>Сведения о спортивной школе:</w:t>
      </w:r>
      <w:bookmarkEnd w:id="6"/>
      <w:bookmarkEnd w:id="7"/>
    </w:p>
    <w:p w14:paraId="1F52082E" w14:textId="77777777" w:rsidR="00C34946" w:rsidRDefault="008B4CA4">
      <w:pPr>
        <w:pStyle w:val="1"/>
        <w:shd w:val="clear" w:color="auto" w:fill="auto"/>
        <w:tabs>
          <w:tab w:val="left" w:pos="84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 Муниципальное образование Республики Хакасия;</w:t>
      </w:r>
    </w:p>
    <w:p w14:paraId="2910813D" w14:textId="77777777" w:rsidR="00C34946" w:rsidRDefault="008B4CA4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2. Название организации (полное и сокращенное);</w:t>
      </w:r>
    </w:p>
    <w:p w14:paraId="793AC14C" w14:textId="77777777" w:rsidR="00C34946" w:rsidRDefault="008B4CA4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3. ФИО руководителя;</w:t>
      </w:r>
    </w:p>
    <w:p w14:paraId="5E166D07" w14:textId="77777777" w:rsidR="00C34946" w:rsidRDefault="008B4CA4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4. Контактная информация (адрес, почтовый индекс, номер телефона, электронная почта, ФИО контактного лица);</w:t>
      </w:r>
    </w:p>
    <w:p w14:paraId="1D619F74" w14:textId="77777777" w:rsidR="00C34946" w:rsidRDefault="008B4CA4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Виды спорта, развиваемые в учреждении.</w:t>
      </w:r>
    </w:p>
    <w:p w14:paraId="452EECEC" w14:textId="77777777" w:rsidR="00C34946" w:rsidRDefault="00C34946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lang w:eastAsia="ru-RU" w:bidi="ru-RU"/>
        </w:rPr>
      </w:pPr>
    </w:p>
    <w:p w14:paraId="3443F406" w14:textId="77777777" w:rsidR="00C34946" w:rsidRDefault="008B4CA4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8" w:name="bookmark30"/>
      <w:bookmarkStart w:id="9" w:name="bookmark31"/>
      <w:r>
        <w:rPr>
          <w:color w:val="000000"/>
          <w:lang w:eastAsia="ru-RU" w:bidi="ru-RU"/>
        </w:rPr>
        <w:t>Прилагаемые материалы:</w:t>
      </w:r>
      <w:bookmarkEnd w:id="8"/>
      <w:bookmarkEnd w:id="9"/>
    </w:p>
    <w:p w14:paraId="2DF55F4D" w14:textId="77777777" w:rsidR="00C34946" w:rsidRDefault="008B4CA4">
      <w:pPr>
        <w:pStyle w:val="1"/>
        <w:shd w:val="clear" w:color="auto" w:fill="auto"/>
        <w:tabs>
          <w:tab w:val="left" w:pos="892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 Документы, подтверждающие результативность деятельности спортивной школы, сведения о результатах выступлений спортсменов спортивной школы на соревнованиях за период с 01.10.2022 по 30.10.2023 согласно Приложению 2 и по форме, указанной в приложении 3;</w:t>
      </w:r>
    </w:p>
    <w:p w14:paraId="3955CDA3" w14:textId="77777777" w:rsidR="00C34946" w:rsidRDefault="008B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 официальные протоколы соревнований.</w:t>
      </w:r>
    </w:p>
    <w:p w14:paraId="2BBEB6B0" w14:textId="77777777" w:rsidR="00C34946" w:rsidRDefault="00C34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E735AEC" w14:textId="77777777" w:rsidR="00C34946" w:rsidRDefault="00C34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A73F989" w14:textId="77777777" w:rsidR="00C34946" w:rsidRDefault="008B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      ___________________      ___________________</w:t>
      </w:r>
    </w:p>
    <w:p w14:paraId="0E38C288" w14:textId="77777777" w:rsidR="00C34946" w:rsidRDefault="008B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Должность                         Подпись                             ФИО</w:t>
      </w:r>
    </w:p>
    <w:p w14:paraId="328B9301" w14:textId="77777777" w:rsidR="00C34946" w:rsidRDefault="008B4CA4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М.П.</w:t>
      </w:r>
    </w:p>
    <w:p w14:paraId="2F935EA9" w14:textId="77777777" w:rsidR="00C34946" w:rsidRDefault="00C34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A3564E" w14:textId="77777777" w:rsidR="00C34946" w:rsidRDefault="008B4CA4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6C32D12A" w14:textId="77777777" w:rsidR="00C34946" w:rsidRDefault="008B4CA4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48F287F" w14:textId="77777777" w:rsidR="00C34946" w:rsidRDefault="00C349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311943D" w14:textId="77777777" w:rsidR="00C34946" w:rsidRDefault="008B4C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оценки результативности деятельности спортивной школы</w:t>
      </w:r>
    </w:p>
    <w:p w14:paraId="4470A4A1" w14:textId="77777777" w:rsidR="00C34946" w:rsidRDefault="008B4C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 с 01.10.2022 по 30.10.2023)</w:t>
      </w:r>
    </w:p>
    <w:p w14:paraId="30687E5E" w14:textId="77777777" w:rsidR="00C34946" w:rsidRDefault="00C349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24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855"/>
        <w:gridCol w:w="6524"/>
        <w:gridCol w:w="1869"/>
      </w:tblGrid>
      <w:tr w:rsidR="00C34946" w14:paraId="07A11BAF" w14:textId="77777777">
        <w:tc>
          <w:tcPr>
            <w:tcW w:w="855" w:type="dxa"/>
          </w:tcPr>
          <w:p w14:paraId="33C4B9BC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4" w:type="dxa"/>
          </w:tcPr>
          <w:p w14:paraId="1D16361E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869" w:type="dxa"/>
          </w:tcPr>
          <w:p w14:paraId="7826E80C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начисляемых очков за единицу</w:t>
            </w:r>
          </w:p>
        </w:tc>
      </w:tr>
      <w:tr w:rsidR="00C34946" w14:paraId="53130D4A" w14:textId="77777777">
        <w:tc>
          <w:tcPr>
            <w:tcW w:w="9248" w:type="dxa"/>
            <w:gridSpan w:val="3"/>
          </w:tcPr>
          <w:p w14:paraId="4AAFBDD9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C34946" w14:paraId="7792DECB" w14:textId="77777777">
        <w:tc>
          <w:tcPr>
            <w:tcW w:w="855" w:type="dxa"/>
          </w:tcPr>
          <w:p w14:paraId="1CF1B976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4" w:type="dxa"/>
          </w:tcPr>
          <w:p w14:paraId="006494BA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развития учреждения, других программ</w:t>
            </w:r>
          </w:p>
        </w:tc>
        <w:tc>
          <w:tcPr>
            <w:tcW w:w="1869" w:type="dxa"/>
          </w:tcPr>
          <w:p w14:paraId="2DAA412B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34946" w14:paraId="45019B41" w14:textId="77777777">
        <w:tc>
          <w:tcPr>
            <w:tcW w:w="855" w:type="dxa"/>
          </w:tcPr>
          <w:p w14:paraId="587A079B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4" w:type="dxa"/>
          </w:tcPr>
          <w:p w14:paraId="5C82BADF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(общеразвивающих, предпрофессиональных, спортивной подготовки) по видам спорта</w:t>
            </w:r>
          </w:p>
        </w:tc>
        <w:tc>
          <w:tcPr>
            <w:tcW w:w="1869" w:type="dxa"/>
          </w:tcPr>
          <w:p w14:paraId="1E47D6A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34946" w14:paraId="309F2C1B" w14:textId="77777777">
        <w:tc>
          <w:tcPr>
            <w:tcW w:w="855" w:type="dxa"/>
          </w:tcPr>
          <w:p w14:paraId="69ADF25D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4" w:type="dxa"/>
          </w:tcPr>
          <w:p w14:paraId="5137CD40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методической направленности (книги, брошюры, учебно-методические пособия)</w:t>
            </w:r>
          </w:p>
        </w:tc>
        <w:tc>
          <w:tcPr>
            <w:tcW w:w="1869" w:type="dxa"/>
          </w:tcPr>
          <w:p w14:paraId="64C9E69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34946" w14:paraId="1C0E47B3" w14:textId="77777777">
        <w:tc>
          <w:tcPr>
            <w:tcW w:w="855" w:type="dxa"/>
          </w:tcPr>
          <w:p w14:paraId="656BE312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4" w:type="dxa"/>
          </w:tcPr>
          <w:p w14:paraId="76F30C84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размещение актуальной информации в социальных сетях учреждения</w:t>
            </w:r>
          </w:p>
        </w:tc>
        <w:tc>
          <w:tcPr>
            <w:tcW w:w="1869" w:type="dxa"/>
          </w:tcPr>
          <w:p w14:paraId="6534222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34946" w14:paraId="605CBAE8" w14:textId="77777777">
        <w:tc>
          <w:tcPr>
            <w:tcW w:w="9248" w:type="dxa"/>
            <w:gridSpan w:val="3"/>
          </w:tcPr>
          <w:p w14:paraId="6AE14D3B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Кадровый потенциал</w:t>
            </w:r>
          </w:p>
        </w:tc>
      </w:tr>
      <w:tr w:rsidR="00C34946" w14:paraId="5304900A" w14:textId="77777777">
        <w:tc>
          <w:tcPr>
            <w:tcW w:w="855" w:type="dxa"/>
          </w:tcPr>
          <w:p w14:paraId="607B3477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4" w:type="dxa"/>
          </w:tcPr>
          <w:p w14:paraId="71989F6E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штатных тренеров, имеющих высшую и первую квалификационную категорию (от общего количества тренеров в учреждении)</w:t>
            </w:r>
          </w:p>
        </w:tc>
        <w:tc>
          <w:tcPr>
            <w:tcW w:w="1869" w:type="dxa"/>
          </w:tcPr>
          <w:p w14:paraId="072935E0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очков равно значению процентного соотношения</w:t>
            </w:r>
          </w:p>
        </w:tc>
      </w:tr>
      <w:tr w:rsidR="00C34946" w14:paraId="1041D82C" w14:textId="77777777">
        <w:tc>
          <w:tcPr>
            <w:tcW w:w="9248" w:type="dxa"/>
            <w:gridSpan w:val="3"/>
          </w:tcPr>
          <w:p w14:paraId="7116BC47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Организация и проведение</w:t>
            </w:r>
          </w:p>
        </w:tc>
      </w:tr>
      <w:tr w:rsidR="00C34946" w14:paraId="1C999FBF" w14:textId="77777777">
        <w:tc>
          <w:tcPr>
            <w:tcW w:w="855" w:type="dxa"/>
          </w:tcPr>
          <w:p w14:paraId="490EC482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4" w:type="dxa"/>
          </w:tcPr>
          <w:p w14:paraId="569595BA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 соревнований по видам спорта</w:t>
            </w:r>
          </w:p>
        </w:tc>
        <w:tc>
          <w:tcPr>
            <w:tcW w:w="1869" w:type="dxa"/>
          </w:tcPr>
          <w:p w14:paraId="439DECFE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34946" w14:paraId="22531503" w14:textId="77777777">
        <w:tc>
          <w:tcPr>
            <w:tcW w:w="855" w:type="dxa"/>
          </w:tcPr>
          <w:p w14:paraId="4C922333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4" w:type="dxa"/>
          </w:tcPr>
          <w:p w14:paraId="1D5D39F0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Межрегиональных соревнований (СФО) по видам спорта</w:t>
            </w:r>
          </w:p>
        </w:tc>
        <w:tc>
          <w:tcPr>
            <w:tcW w:w="1869" w:type="dxa"/>
          </w:tcPr>
          <w:p w14:paraId="1C8480EF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34946" w14:paraId="3B1167D9" w14:textId="77777777">
        <w:tc>
          <w:tcPr>
            <w:tcW w:w="855" w:type="dxa"/>
          </w:tcPr>
          <w:p w14:paraId="6859D2CD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4" w:type="dxa"/>
          </w:tcPr>
          <w:p w14:paraId="58F903F3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Республиканских соревнований по видам спорта (включенных в календарный план физкультурных мероприятий и спортивных мероприятий Республики Хакасия)</w:t>
            </w:r>
          </w:p>
        </w:tc>
        <w:tc>
          <w:tcPr>
            <w:tcW w:w="1869" w:type="dxa"/>
          </w:tcPr>
          <w:p w14:paraId="64195652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34946" w14:paraId="1A929DC5" w14:textId="77777777">
        <w:tc>
          <w:tcPr>
            <w:tcW w:w="855" w:type="dxa"/>
          </w:tcPr>
          <w:p w14:paraId="25C9C46E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4" w:type="dxa"/>
          </w:tcPr>
          <w:p w14:paraId="48816635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соревнований (включенных в календарный план физкультурных мероприятий и спортивных мероприятий муниципального образования Республики Хакасия)</w:t>
            </w:r>
          </w:p>
        </w:tc>
        <w:tc>
          <w:tcPr>
            <w:tcW w:w="1869" w:type="dxa"/>
          </w:tcPr>
          <w:p w14:paraId="273AEC93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14:paraId="05BB444B" w14:textId="77777777" w:rsidR="00C34946" w:rsidRDefault="00C349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C37ADC9" w14:textId="77777777" w:rsidR="00C34946" w:rsidRDefault="008B4C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Начисление очков за места занятые спортсменами спортивной школы на</w:t>
      </w:r>
      <w:r>
        <w:rPr>
          <w:b/>
          <w:bCs/>
          <w:color w:val="000000"/>
          <w:lang w:eastAsia="ru-RU" w:bidi="ru-RU"/>
        </w:rPr>
        <w:br/>
        <w:t xml:space="preserve">указанных </w:t>
      </w:r>
      <w:bookmarkStart w:id="10" w:name="_Hlk45531869"/>
      <w:r>
        <w:rPr>
          <w:b/>
          <w:bCs/>
          <w:color w:val="000000"/>
          <w:lang w:eastAsia="ru-RU" w:bidi="ru-RU"/>
        </w:rPr>
        <w:t>региональных, межрегиональных и всероссийских соревнования</w:t>
      </w:r>
      <w:bookmarkEnd w:id="10"/>
      <w:r>
        <w:rPr>
          <w:b/>
          <w:bCs/>
          <w:color w:val="000000"/>
          <w:lang w:eastAsia="ru-RU" w:bidi="ru-RU"/>
        </w:rPr>
        <w:t>х</w:t>
      </w:r>
    </w:p>
    <w:p w14:paraId="7F12EF3A" w14:textId="77777777" w:rsidR="00C34946" w:rsidRDefault="00C34946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98"/>
        <w:gridCol w:w="1254"/>
        <w:gridCol w:w="1258"/>
        <w:gridCol w:w="1278"/>
      </w:tblGrid>
      <w:tr w:rsidR="00C34946" w14:paraId="527DAA0C" w14:textId="77777777">
        <w:trPr>
          <w:trHeight w:hRule="exact" w:val="711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83F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C3B2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F74E24" w14:textId="77777777" w:rsidR="00C34946" w:rsidRDefault="008B4CA4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очков за места занятые спортсменами спортивной школы</w:t>
            </w:r>
          </w:p>
        </w:tc>
      </w:tr>
      <w:tr w:rsidR="00C34946" w14:paraId="5697E267" w14:textId="77777777">
        <w:trPr>
          <w:trHeight w:hRule="exact" w:val="32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16893" w14:textId="77777777" w:rsidR="00C34946" w:rsidRDefault="00C34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9D8D" w14:textId="77777777" w:rsidR="00C34946" w:rsidRDefault="00C349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A155E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D2ADC2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DA00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34946" w14:paraId="452ACAD4" w14:textId="77777777">
        <w:trPr>
          <w:trHeight w:hRule="exact" w:val="32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704C" w14:textId="77777777" w:rsidR="00C34946" w:rsidRDefault="008B4C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1D625" w14:textId="77777777" w:rsidR="00C34946" w:rsidRDefault="008B4C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12EA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83F2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47C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C34946" w14:paraId="73F8B717" w14:textId="77777777">
        <w:trPr>
          <w:trHeight w:hRule="exact" w:val="32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F492" w14:textId="77777777" w:rsidR="00C34946" w:rsidRDefault="008B4C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A3871" w14:textId="77777777" w:rsidR="00C34946" w:rsidRDefault="008B4C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(юниоры, юниорки)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411C2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9F6A0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25F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C34946" w14:paraId="21774358" w14:textId="77777777">
        <w:trPr>
          <w:trHeight w:hRule="exact" w:val="32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4F44E" w14:textId="77777777" w:rsidR="00C34946" w:rsidRDefault="008B4C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D0D0F" w14:textId="77777777" w:rsidR="00C34946" w:rsidRDefault="008B4C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(юниоры, юниорки)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ABF2F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5338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6D0D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C34946" w14:paraId="6E9C95C7" w14:textId="77777777">
        <w:trPr>
          <w:trHeight w:hRule="exact" w:val="32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3C04" w14:textId="77777777" w:rsidR="00C34946" w:rsidRDefault="008B4C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E565F" w14:textId="77777777" w:rsidR="00C34946" w:rsidRDefault="008B4C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 (юноши, девушки)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944A2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EDE3F4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EF86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C34946" w14:paraId="126ADEFD" w14:textId="77777777">
        <w:trPr>
          <w:trHeight w:hRule="exact" w:val="32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AF7FF" w14:textId="77777777" w:rsidR="00C34946" w:rsidRDefault="008B4C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991F" w14:textId="77777777" w:rsidR="00C34946" w:rsidRDefault="008B4C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(юноши, девушки)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72FE5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156B4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BC8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C34946" w14:paraId="7FEB496F" w14:textId="77777777">
        <w:trPr>
          <w:trHeight w:hRule="exact" w:val="3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561F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99E4F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F544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373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38828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C34946" w14:paraId="7D3FDEBD" w14:textId="77777777">
        <w:trPr>
          <w:trHeight w:hRule="exact" w:val="29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1E8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9474E" w14:textId="77777777" w:rsidR="00C34946" w:rsidRDefault="008B4CA4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России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17DDD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65655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ECE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C34946" w14:paraId="63CF96A9" w14:textId="77777777">
        <w:trPr>
          <w:trHeight w:hRule="exact" w:val="58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0408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1454B0" w14:textId="77777777" w:rsidR="00C34946" w:rsidRDefault="008B4CA4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Сибирского Федерального округа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BD1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6E20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C01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C34946" w14:paraId="50B8F690" w14:textId="777777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3BCD8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9.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07014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Сибирского Федерального округа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7F4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8136D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DF265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C34946" w14:paraId="199CAF3B" w14:textId="77777777">
        <w:trPr>
          <w:trHeight w:hRule="exact" w:val="44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7E57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8B5A22" w14:textId="77777777" w:rsidR="00C34946" w:rsidRDefault="008B4CA4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Республики Хакасия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D718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994E5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066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C34946" w14:paraId="01903D39" w14:textId="77777777">
        <w:trPr>
          <w:trHeight w:hRule="exact" w:val="40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B300B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6EE606" w14:textId="77777777" w:rsidR="00C34946" w:rsidRDefault="008B4CA4">
            <w:pPr>
              <w:pStyle w:val="a5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Республики Хакасия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275C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AA3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C1BB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1" w:name="_Hlk45531911"/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bookmarkEnd w:id="11"/>
          </w:p>
        </w:tc>
      </w:tr>
    </w:tbl>
    <w:p w14:paraId="15896799" w14:textId="77777777" w:rsidR="00C34946" w:rsidRDefault="00C34946">
      <w:pPr>
        <w:spacing w:after="0" w:line="240" w:lineRule="auto"/>
      </w:pPr>
    </w:p>
    <w:p w14:paraId="53581709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подсчёте очков за командные и групповые дисциплины, эстафеты и экипажи количество очков делится на количество участников и умножается на количество спортсменов, представляющих спортивную школу.</w:t>
      </w:r>
    </w:p>
    <w:p w14:paraId="757895AC" w14:textId="77777777" w:rsidR="00C34946" w:rsidRDefault="008B4CA4">
      <w:pPr>
        <w:pStyle w:val="a7"/>
        <w:shd w:val="clear" w:color="auto" w:fill="auto"/>
        <w:tabs>
          <w:tab w:val="left" w:leader="underscore" w:pos="1844"/>
        </w:tabs>
        <w:spacing w:line="240" w:lineRule="auto"/>
        <w:ind w:left="76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этом, начисление очков производится с коэффициентами: </w:t>
      </w:r>
    </w:p>
    <w:p w14:paraId="2E12ECC9" w14:textId="77777777" w:rsidR="00C34946" w:rsidRDefault="008B4CA4">
      <w:pPr>
        <w:pStyle w:val="a7"/>
        <w:shd w:val="clear" w:color="auto" w:fill="auto"/>
        <w:tabs>
          <w:tab w:val="left" w:leader="underscore" w:pos="1844"/>
        </w:tabs>
        <w:spacing w:line="240" w:lineRule="auto"/>
        <w:ind w:left="762"/>
      </w:pPr>
      <w:r>
        <w:rPr>
          <w:color w:val="000000"/>
          <w:lang w:eastAsia="ru-RU" w:bidi="ru-RU"/>
        </w:rPr>
        <w:t>Таблица К</w:t>
      </w:r>
    </w:p>
    <w:tbl>
      <w:tblPr>
        <w:tblW w:w="90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5407"/>
        <w:gridCol w:w="2814"/>
      </w:tblGrid>
      <w:tr w:rsidR="00C34946" w14:paraId="6D00CAAD" w14:textId="77777777">
        <w:trPr>
          <w:trHeight w:hRule="exact" w:val="703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1293E4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 п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C06680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 участников (членов) команды, групповой дисциплины, эстафеты, экипажа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28F9B8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коэффициента</w:t>
            </w:r>
          </w:p>
        </w:tc>
      </w:tr>
      <w:tr w:rsidR="00C34946" w14:paraId="699E1B2D" w14:textId="77777777">
        <w:trPr>
          <w:trHeight w:hRule="exact" w:val="33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26C4FF3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043F5EB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2-х спортсменов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3E0DA3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C34946" w14:paraId="248B6794" w14:textId="77777777">
        <w:trPr>
          <w:trHeight w:hRule="exact" w:val="33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1857BF0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8F0AA4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3-х до 5-ти спортсменов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1955A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34946" w14:paraId="1D15D2F4" w14:textId="77777777">
        <w:trPr>
          <w:trHeight w:hRule="exact" w:val="3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3114FFE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A3671BB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6-ти до 10-ти спортсменов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5DE16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34946" w14:paraId="76F256B8" w14:textId="77777777">
        <w:trPr>
          <w:trHeight w:hRule="exact" w:val="34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4A8FC3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7A23B9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11-ти и более спортсменов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B96206" w14:textId="77777777" w:rsidR="00C34946" w:rsidRDefault="008B4CA4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14:paraId="49F5C92E" w14:textId="77777777" w:rsidR="00C34946" w:rsidRDefault="00C34946">
      <w:pPr>
        <w:spacing w:after="0" w:line="240" w:lineRule="auto"/>
      </w:pPr>
    </w:p>
    <w:p w14:paraId="7533B8C2" w14:textId="77777777" w:rsidR="00C34946" w:rsidRDefault="008B4CA4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>Очки подсчитываются по формуле:</w:t>
      </w:r>
    </w:p>
    <w:p w14:paraId="5C43DC84" w14:textId="77777777" w:rsidR="00C34946" w:rsidRDefault="008B4CA4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 xml:space="preserve">О = (Ос / Ку) х Кс х </w:t>
      </w:r>
      <w:proofErr w:type="spellStart"/>
      <w:r>
        <w:rPr>
          <w:color w:val="000000"/>
          <w:lang w:eastAsia="ru-RU" w:bidi="ru-RU"/>
        </w:rPr>
        <w:t>Коэф</w:t>
      </w:r>
      <w:proofErr w:type="spellEnd"/>
    </w:p>
    <w:p w14:paraId="326F9F7A" w14:textId="77777777" w:rsidR="00C34946" w:rsidRDefault="008B4CA4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>где:</w:t>
      </w:r>
    </w:p>
    <w:p w14:paraId="7F45D7E5" w14:textId="77777777" w:rsidR="00C34946" w:rsidRDefault="008B4CA4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>О – количество очков за командные и групповые дисциплины, эстафеты и экипажи;</w:t>
      </w:r>
    </w:p>
    <w:p w14:paraId="35785E75" w14:textId="77777777" w:rsidR="00C34946" w:rsidRDefault="008B4CA4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>Ос – количество очков за место занятое спортсменами спортивной школы согласно таблице;</w:t>
      </w:r>
    </w:p>
    <w:p w14:paraId="65CC887E" w14:textId="77777777" w:rsidR="00C34946" w:rsidRDefault="008B4CA4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>Ку – количество участников (членов) в команде, групповой дисциплине, эстафете, экипаже;</w:t>
      </w:r>
    </w:p>
    <w:p w14:paraId="729D2961" w14:textId="77777777" w:rsidR="00C34946" w:rsidRDefault="008B4CA4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>Кс – количество спортсменов, представлявших спортивную школу в команде, групповой дисциплине, эстафете, экипаже;</w:t>
      </w:r>
    </w:p>
    <w:p w14:paraId="124965C1" w14:textId="77777777" w:rsidR="00C34946" w:rsidRDefault="008B4CA4">
      <w:pPr>
        <w:pStyle w:val="1"/>
        <w:shd w:val="clear" w:color="auto" w:fill="auto"/>
        <w:spacing w:line="240" w:lineRule="auto"/>
        <w:ind w:firstLine="820"/>
        <w:jc w:val="both"/>
      </w:pPr>
      <w:proofErr w:type="spellStart"/>
      <w:r>
        <w:rPr>
          <w:color w:val="000000"/>
          <w:lang w:eastAsia="ru-RU" w:bidi="ru-RU"/>
        </w:rPr>
        <w:t>Коэф</w:t>
      </w:r>
      <w:proofErr w:type="spellEnd"/>
      <w:r>
        <w:rPr>
          <w:color w:val="000000"/>
          <w:lang w:eastAsia="ru-RU" w:bidi="ru-RU"/>
        </w:rPr>
        <w:t xml:space="preserve"> – значение коэффициента согласно таблице К.</w:t>
      </w:r>
    </w:p>
    <w:p w14:paraId="24D145CD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0B6F9527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  <w:sectPr w:rsidR="00C34946" w:rsidSect="00875FA0">
          <w:headerReference w:type="default" r:id="rId10"/>
          <w:pgSz w:w="11906" w:h="16838"/>
          <w:pgMar w:top="568" w:right="709" w:bottom="284" w:left="1276" w:header="708" w:footer="0" w:gutter="0"/>
          <w:cols w:space="720"/>
          <w:formProt w:val="0"/>
          <w:titlePg/>
          <w:docGrid w:linePitch="360" w:charSpace="4096"/>
        </w:sectPr>
      </w:pPr>
      <w:r>
        <w:rPr>
          <w:color w:val="000000"/>
          <w:lang w:eastAsia="ru-RU" w:bidi="ru-RU"/>
        </w:rPr>
        <w:t>Общее число очков делится на количество всех видов спорта, развиваемых в спортивной школе, направившего заявку.</w:t>
      </w:r>
      <w:r>
        <w:br w:type="page"/>
      </w:r>
    </w:p>
    <w:p w14:paraId="52B9BE2D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left="12758" w:firstLine="0"/>
        <w:contextualSpacing/>
        <w:jc w:val="both"/>
      </w:pPr>
      <w:r>
        <w:lastRenderedPageBreak/>
        <w:t>Приложение 3</w:t>
      </w:r>
    </w:p>
    <w:p w14:paraId="3AC1A95A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left="10065" w:firstLine="709"/>
        <w:contextualSpacing/>
        <w:jc w:val="both"/>
      </w:pPr>
    </w:p>
    <w:p w14:paraId="328AB5D7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Сведения о спортивной школе и подсчете очков для участия в номинациях конкурса</w:t>
      </w:r>
    </w:p>
    <w:p w14:paraId="0E6ED246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f8"/>
        <w:tblW w:w="14560" w:type="dxa"/>
        <w:tblLayout w:type="fixed"/>
        <w:tblLook w:val="04A0" w:firstRow="1" w:lastRow="0" w:firstColumn="1" w:lastColumn="0" w:noHBand="0" w:noVBand="1"/>
      </w:tblPr>
      <w:tblGrid>
        <w:gridCol w:w="7281"/>
        <w:gridCol w:w="7279"/>
      </w:tblGrid>
      <w:tr w:rsidR="00C34946" w14:paraId="4AEB9880" w14:textId="77777777">
        <w:tc>
          <w:tcPr>
            <w:tcW w:w="7280" w:type="dxa"/>
          </w:tcPr>
          <w:p w14:paraId="4C8580C0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Хакасия</w:t>
            </w:r>
          </w:p>
        </w:tc>
        <w:tc>
          <w:tcPr>
            <w:tcW w:w="7279" w:type="dxa"/>
          </w:tcPr>
          <w:p w14:paraId="38A91DDE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34946" w14:paraId="3C09807D" w14:textId="77777777">
        <w:tc>
          <w:tcPr>
            <w:tcW w:w="7280" w:type="dxa"/>
          </w:tcPr>
          <w:p w14:paraId="4B4651F2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79" w:type="dxa"/>
          </w:tcPr>
          <w:p w14:paraId="63C29CE2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34946" w14:paraId="6CA6D48F" w14:textId="77777777">
        <w:tc>
          <w:tcPr>
            <w:tcW w:w="7280" w:type="dxa"/>
          </w:tcPr>
          <w:p w14:paraId="539314F3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7279" w:type="dxa"/>
          </w:tcPr>
          <w:p w14:paraId="4C978A70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34946" w14:paraId="500895A1" w14:textId="77777777">
        <w:tc>
          <w:tcPr>
            <w:tcW w:w="7280" w:type="dxa"/>
          </w:tcPr>
          <w:p w14:paraId="5735650A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(должность, ФИО)</w:t>
            </w:r>
          </w:p>
        </w:tc>
        <w:tc>
          <w:tcPr>
            <w:tcW w:w="7279" w:type="dxa"/>
          </w:tcPr>
          <w:p w14:paraId="36720A79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34946" w14:paraId="59458A7B" w14:textId="77777777">
        <w:tc>
          <w:tcPr>
            <w:tcW w:w="7280" w:type="dxa"/>
          </w:tcPr>
          <w:p w14:paraId="74611AE0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(номер телефона,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, Интернет-сайта (при наличии))</w:t>
            </w:r>
          </w:p>
        </w:tc>
        <w:tc>
          <w:tcPr>
            <w:tcW w:w="7279" w:type="dxa"/>
          </w:tcPr>
          <w:p w14:paraId="4C50F7F7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5BDE8306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f8"/>
        <w:tblW w:w="14482" w:type="dxa"/>
        <w:tblLayout w:type="fixed"/>
        <w:tblLook w:val="04A0" w:firstRow="1" w:lastRow="0" w:firstColumn="1" w:lastColumn="0" w:noHBand="0" w:noVBand="1"/>
      </w:tblPr>
      <w:tblGrid>
        <w:gridCol w:w="844"/>
        <w:gridCol w:w="11765"/>
        <w:gridCol w:w="1873"/>
      </w:tblGrid>
      <w:tr w:rsidR="00C34946" w14:paraId="38F860C3" w14:textId="77777777">
        <w:tc>
          <w:tcPr>
            <w:tcW w:w="844" w:type="dxa"/>
          </w:tcPr>
          <w:p w14:paraId="02555E1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65" w:type="dxa"/>
          </w:tcPr>
          <w:p w14:paraId="20066055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873" w:type="dxa"/>
          </w:tcPr>
          <w:p w14:paraId="2FAA7287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начисляемых очков за единицу</w:t>
            </w:r>
          </w:p>
        </w:tc>
      </w:tr>
      <w:tr w:rsidR="00C34946" w14:paraId="70A8BE45" w14:textId="77777777">
        <w:tc>
          <w:tcPr>
            <w:tcW w:w="14482" w:type="dxa"/>
            <w:gridSpan w:val="3"/>
          </w:tcPr>
          <w:p w14:paraId="2BA4E9C4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C34946" w14:paraId="3C902202" w14:textId="77777777">
        <w:tc>
          <w:tcPr>
            <w:tcW w:w="844" w:type="dxa"/>
          </w:tcPr>
          <w:p w14:paraId="1498548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14:paraId="32EEA105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развития учреждения, других программ</w:t>
            </w:r>
          </w:p>
        </w:tc>
        <w:tc>
          <w:tcPr>
            <w:tcW w:w="1873" w:type="dxa"/>
          </w:tcPr>
          <w:p w14:paraId="07A41396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66B7A2DF" w14:textId="77777777">
        <w:tc>
          <w:tcPr>
            <w:tcW w:w="844" w:type="dxa"/>
          </w:tcPr>
          <w:p w14:paraId="00756944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765" w:type="dxa"/>
          </w:tcPr>
          <w:p w14:paraId="33541492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(общеразвивающих, предпрофессиональных, спортивной подготовки) по видам спорта</w:t>
            </w:r>
          </w:p>
        </w:tc>
        <w:tc>
          <w:tcPr>
            <w:tcW w:w="1873" w:type="dxa"/>
          </w:tcPr>
          <w:p w14:paraId="3BA5E7BA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32CCB09C" w14:textId="77777777">
        <w:tc>
          <w:tcPr>
            <w:tcW w:w="844" w:type="dxa"/>
          </w:tcPr>
          <w:p w14:paraId="2DF03482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14:paraId="731B1D7D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методической направленности (книги, брошюры, учебно-методические пособия)</w:t>
            </w:r>
          </w:p>
        </w:tc>
        <w:tc>
          <w:tcPr>
            <w:tcW w:w="1873" w:type="dxa"/>
          </w:tcPr>
          <w:p w14:paraId="72474270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5C6DF0BF" w14:textId="77777777">
        <w:tc>
          <w:tcPr>
            <w:tcW w:w="844" w:type="dxa"/>
          </w:tcPr>
          <w:p w14:paraId="71A0162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14:paraId="257DD871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размещение актуальной информации в социальных сетях учреждения</w:t>
            </w:r>
          </w:p>
        </w:tc>
        <w:tc>
          <w:tcPr>
            <w:tcW w:w="1873" w:type="dxa"/>
          </w:tcPr>
          <w:p w14:paraId="67E5229E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6FD70E22" w14:textId="77777777">
        <w:tc>
          <w:tcPr>
            <w:tcW w:w="14482" w:type="dxa"/>
            <w:gridSpan w:val="3"/>
          </w:tcPr>
          <w:p w14:paraId="00B9B811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Кадровый потенциал</w:t>
            </w:r>
          </w:p>
        </w:tc>
      </w:tr>
      <w:tr w:rsidR="00C34946" w14:paraId="64AA143A" w14:textId="77777777">
        <w:tc>
          <w:tcPr>
            <w:tcW w:w="844" w:type="dxa"/>
          </w:tcPr>
          <w:p w14:paraId="284623C4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14:paraId="25D6ED7F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штатных тренеров, имеющих высшую и первую квалификационную категорию (от общего количества тренеров в учреждении)</w:t>
            </w:r>
          </w:p>
        </w:tc>
        <w:tc>
          <w:tcPr>
            <w:tcW w:w="1873" w:type="dxa"/>
          </w:tcPr>
          <w:p w14:paraId="4161EC11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2CE61A22" w14:textId="77777777">
        <w:tc>
          <w:tcPr>
            <w:tcW w:w="14482" w:type="dxa"/>
            <w:gridSpan w:val="3"/>
          </w:tcPr>
          <w:p w14:paraId="6BD6DCEB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Организация и проведение</w:t>
            </w:r>
          </w:p>
        </w:tc>
      </w:tr>
      <w:tr w:rsidR="00C34946" w14:paraId="2489CE6C" w14:textId="77777777">
        <w:tc>
          <w:tcPr>
            <w:tcW w:w="844" w:type="dxa"/>
          </w:tcPr>
          <w:p w14:paraId="12856073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65" w:type="dxa"/>
          </w:tcPr>
          <w:p w14:paraId="21D1C3F1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 соревнований по видам спорта</w:t>
            </w:r>
          </w:p>
        </w:tc>
        <w:tc>
          <w:tcPr>
            <w:tcW w:w="1873" w:type="dxa"/>
          </w:tcPr>
          <w:p w14:paraId="0756B5D1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513CBE45" w14:textId="77777777">
        <w:tc>
          <w:tcPr>
            <w:tcW w:w="844" w:type="dxa"/>
          </w:tcPr>
          <w:p w14:paraId="55C0C140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65" w:type="dxa"/>
          </w:tcPr>
          <w:p w14:paraId="5EC2A10B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Межрегиональных соревнований (СФО) по видам спорта</w:t>
            </w:r>
          </w:p>
        </w:tc>
        <w:tc>
          <w:tcPr>
            <w:tcW w:w="1873" w:type="dxa"/>
          </w:tcPr>
          <w:p w14:paraId="6BA9194E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50531FF9" w14:textId="77777777">
        <w:tc>
          <w:tcPr>
            <w:tcW w:w="844" w:type="dxa"/>
          </w:tcPr>
          <w:p w14:paraId="225C3D80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65" w:type="dxa"/>
          </w:tcPr>
          <w:p w14:paraId="47B02893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Республиканских соревнований по видам спорта (включенных в календарный план физкультурных мероприятий и спортивных мероприятий Республики Хакасия)</w:t>
            </w:r>
          </w:p>
        </w:tc>
        <w:tc>
          <w:tcPr>
            <w:tcW w:w="1873" w:type="dxa"/>
          </w:tcPr>
          <w:p w14:paraId="4C115768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09D5B7AD" w14:textId="77777777">
        <w:tc>
          <w:tcPr>
            <w:tcW w:w="844" w:type="dxa"/>
          </w:tcPr>
          <w:p w14:paraId="1FFE8294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65" w:type="dxa"/>
          </w:tcPr>
          <w:p w14:paraId="01E4298F" w14:textId="77777777" w:rsidR="00C34946" w:rsidRDefault="008B4C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соревнований (включенных в календарный план физкультурных мероприятий и спортивных мероприятий муниципального образования Республики Хакасия)</w:t>
            </w:r>
          </w:p>
        </w:tc>
        <w:tc>
          <w:tcPr>
            <w:tcW w:w="1873" w:type="dxa"/>
          </w:tcPr>
          <w:p w14:paraId="291AF27F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6" w14:paraId="266B9CF8" w14:textId="77777777">
        <w:tc>
          <w:tcPr>
            <w:tcW w:w="12609" w:type="dxa"/>
            <w:gridSpan w:val="2"/>
          </w:tcPr>
          <w:p w14:paraId="66F4218A" w14:textId="77777777" w:rsidR="00C34946" w:rsidRDefault="008B4C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3" w:type="dxa"/>
          </w:tcPr>
          <w:p w14:paraId="3EB7A617" w14:textId="77777777" w:rsidR="00C34946" w:rsidRDefault="00C349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19D0E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66A2D616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f8"/>
        <w:tblW w:w="14596" w:type="dxa"/>
        <w:tblLayout w:type="fixed"/>
        <w:tblLook w:val="04A0" w:firstRow="1" w:lastRow="0" w:firstColumn="1" w:lastColumn="0" w:noHBand="0" w:noVBand="1"/>
      </w:tblPr>
      <w:tblGrid>
        <w:gridCol w:w="561"/>
        <w:gridCol w:w="2953"/>
        <w:gridCol w:w="1277"/>
        <w:gridCol w:w="2407"/>
        <w:gridCol w:w="975"/>
        <w:gridCol w:w="841"/>
        <w:gridCol w:w="976"/>
        <w:gridCol w:w="975"/>
        <w:gridCol w:w="976"/>
        <w:gridCol w:w="977"/>
        <w:gridCol w:w="976"/>
        <w:gridCol w:w="702"/>
      </w:tblGrid>
      <w:tr w:rsidR="00C34946" w14:paraId="10A5E422" w14:textId="77777777">
        <w:trPr>
          <w:cantSplit/>
          <w:trHeight w:val="472"/>
        </w:trPr>
        <w:tc>
          <w:tcPr>
            <w:tcW w:w="560" w:type="dxa"/>
            <w:vMerge w:val="restart"/>
          </w:tcPr>
          <w:p w14:paraId="0FFBE615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53" w:type="dxa"/>
            <w:vMerge w:val="restart"/>
          </w:tcPr>
          <w:p w14:paraId="4DB6702C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спортсмена</w:t>
            </w:r>
          </w:p>
        </w:tc>
        <w:tc>
          <w:tcPr>
            <w:tcW w:w="1277" w:type="dxa"/>
            <w:vMerge w:val="restart"/>
          </w:tcPr>
          <w:p w14:paraId="6AFA18D4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7" w:type="dxa"/>
            <w:vMerge w:val="restart"/>
          </w:tcPr>
          <w:p w14:paraId="17977CD9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Реквизиты приказа о зачислении спортсмена в спортивную школу</w:t>
            </w:r>
          </w:p>
        </w:tc>
        <w:tc>
          <w:tcPr>
            <w:tcW w:w="7398" w:type="dxa"/>
            <w:gridSpan w:val="8"/>
          </w:tcPr>
          <w:p w14:paraId="299D3FD0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Начисленные очки</w:t>
            </w:r>
          </w:p>
        </w:tc>
      </w:tr>
      <w:tr w:rsidR="00C34946" w14:paraId="77D4D179" w14:textId="77777777">
        <w:trPr>
          <w:cantSplit/>
          <w:trHeight w:val="1732"/>
        </w:trPr>
        <w:tc>
          <w:tcPr>
            <w:tcW w:w="560" w:type="dxa"/>
            <w:vMerge/>
          </w:tcPr>
          <w:p w14:paraId="472DB076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14:paraId="3ED77CFA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BE2620D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14:paraId="66D887C1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extDirection w:val="btLr"/>
          </w:tcPr>
          <w:p w14:paraId="1BDCDAD8" w14:textId="77777777" w:rsidR="00C34946" w:rsidRDefault="008B4CA4">
            <w:pPr>
              <w:pStyle w:val="1"/>
              <w:shd w:val="clear" w:color="auto" w:fill="auto"/>
              <w:tabs>
                <w:tab w:val="left" w:pos="1114"/>
              </w:tabs>
              <w:spacing w:line="240" w:lineRule="auto"/>
              <w:ind w:left="-71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841" w:type="dxa"/>
            <w:textDirection w:val="btLr"/>
          </w:tcPr>
          <w:p w14:paraId="02C4613F" w14:textId="77777777" w:rsidR="00C34946" w:rsidRDefault="008B4CA4">
            <w:pPr>
              <w:pStyle w:val="1"/>
              <w:shd w:val="clear" w:color="auto" w:fill="auto"/>
              <w:tabs>
                <w:tab w:val="left" w:pos="1114"/>
              </w:tabs>
              <w:spacing w:line="240" w:lineRule="auto"/>
              <w:ind w:left="-71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976" w:type="dxa"/>
            <w:textDirection w:val="btLr"/>
          </w:tcPr>
          <w:p w14:paraId="42D35A05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России</w:t>
            </w:r>
          </w:p>
        </w:tc>
        <w:tc>
          <w:tcPr>
            <w:tcW w:w="975" w:type="dxa"/>
            <w:textDirection w:val="btLr"/>
          </w:tcPr>
          <w:p w14:paraId="41314B22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СФО</w:t>
            </w:r>
          </w:p>
        </w:tc>
        <w:tc>
          <w:tcPr>
            <w:tcW w:w="976" w:type="dxa"/>
            <w:textDirection w:val="btLr"/>
          </w:tcPr>
          <w:p w14:paraId="1B1C359D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СФО</w:t>
            </w:r>
          </w:p>
        </w:tc>
        <w:tc>
          <w:tcPr>
            <w:tcW w:w="977" w:type="dxa"/>
            <w:textDirection w:val="btLr"/>
          </w:tcPr>
          <w:p w14:paraId="24418ED8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РХ</w:t>
            </w:r>
          </w:p>
        </w:tc>
        <w:tc>
          <w:tcPr>
            <w:tcW w:w="976" w:type="dxa"/>
            <w:textDirection w:val="btLr"/>
          </w:tcPr>
          <w:p w14:paraId="0211C0E6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РХ</w:t>
            </w:r>
          </w:p>
        </w:tc>
        <w:tc>
          <w:tcPr>
            <w:tcW w:w="702" w:type="dxa"/>
            <w:textDirection w:val="btLr"/>
          </w:tcPr>
          <w:p w14:paraId="7E21F584" w14:textId="77777777" w:rsidR="00C34946" w:rsidRDefault="008B4CA4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очков</w:t>
            </w:r>
          </w:p>
        </w:tc>
      </w:tr>
      <w:tr w:rsidR="00C34946" w14:paraId="12F9EC5A" w14:textId="77777777">
        <w:tc>
          <w:tcPr>
            <w:tcW w:w="560" w:type="dxa"/>
          </w:tcPr>
          <w:p w14:paraId="3A74FDED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353E4763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31457616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50CFEAA8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369FF81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247BD4DA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3DA172A2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75B7769B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1A4E1CA2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41AD444D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2F220275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46C51D18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946" w14:paraId="1334A4EF" w14:textId="77777777">
        <w:tc>
          <w:tcPr>
            <w:tcW w:w="560" w:type="dxa"/>
          </w:tcPr>
          <w:p w14:paraId="18ECE8E0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53AEAB58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6EF0443B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766F8A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4A1CE62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2E7769DB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3624D1BF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D8F6866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41A4ECFE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6F24A13D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6B4AA09C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29007FD4" w14:textId="77777777" w:rsidR="00C34946" w:rsidRDefault="00C34946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5A83226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0098C708" w14:textId="77777777" w:rsidR="00C34946" w:rsidRDefault="00C3494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00182E9D" w14:textId="77777777" w:rsidR="00C34946" w:rsidRDefault="008B4CA4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ВАЖНО! </w:t>
      </w:r>
      <w:bookmarkStart w:id="12" w:name="_Hlk45533308"/>
      <w:r>
        <w:rPr>
          <w:b/>
          <w:bCs/>
        </w:rPr>
        <w:t xml:space="preserve">Информация подается по ОДНОМУ лучшему результату спортсмена, показанному </w:t>
      </w:r>
      <w:r>
        <w:rPr>
          <w:b/>
          <w:bCs/>
          <w:color w:val="000000"/>
          <w:lang w:eastAsia="ru-RU" w:bidi="ru-RU"/>
        </w:rPr>
        <w:t>за период с 01.10.2022 по 30.10.2023</w:t>
      </w:r>
      <w:r>
        <w:rPr>
          <w:b/>
          <w:bCs/>
        </w:rPr>
        <w:t>.</w:t>
      </w:r>
      <w:bookmarkEnd w:id="12"/>
      <w:r>
        <w:rPr>
          <w:b/>
          <w:bCs/>
        </w:rPr>
        <w:t xml:space="preserve"> Количество спортсменов не более 10.</w:t>
      </w:r>
    </w:p>
    <w:sectPr w:rsidR="00C34946">
      <w:headerReference w:type="default" r:id="rId11"/>
      <w:headerReference w:type="first" r:id="rId12"/>
      <w:pgSz w:w="16838" w:h="11906" w:orient="landscape"/>
      <w:pgMar w:top="1134" w:right="709" w:bottom="1134" w:left="1276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8233" w14:textId="77777777" w:rsidR="0051091D" w:rsidRDefault="0051091D">
      <w:pPr>
        <w:spacing w:after="0" w:line="240" w:lineRule="auto"/>
      </w:pPr>
      <w:r>
        <w:separator/>
      </w:r>
    </w:p>
  </w:endnote>
  <w:endnote w:type="continuationSeparator" w:id="0">
    <w:p w14:paraId="0687829D" w14:textId="77777777" w:rsidR="0051091D" w:rsidRDefault="005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D02D" w14:textId="77777777" w:rsidR="0051091D" w:rsidRDefault="0051091D">
      <w:pPr>
        <w:spacing w:after="0" w:line="240" w:lineRule="auto"/>
      </w:pPr>
      <w:r>
        <w:separator/>
      </w:r>
    </w:p>
  </w:footnote>
  <w:footnote w:type="continuationSeparator" w:id="0">
    <w:p w14:paraId="2F347994" w14:textId="77777777" w:rsidR="0051091D" w:rsidRDefault="005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608745"/>
      <w:docPartObj>
        <w:docPartGallery w:val="Page Numbers (Top of Page)"/>
        <w:docPartUnique/>
      </w:docPartObj>
    </w:sdtPr>
    <w:sdtEndPr/>
    <w:sdtContent>
      <w:p w14:paraId="2D4E8261" w14:textId="77777777" w:rsidR="00C34946" w:rsidRDefault="00C3494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37EC99C8" w14:textId="77777777" w:rsidR="00C34946" w:rsidRDefault="0051091D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2262"/>
      <w:docPartObj>
        <w:docPartGallery w:val="Page Numbers (Top of Page)"/>
        <w:docPartUnique/>
      </w:docPartObj>
    </w:sdtPr>
    <w:sdtEndPr/>
    <w:sdtContent>
      <w:p w14:paraId="10657264" w14:textId="77777777" w:rsidR="00C34946" w:rsidRDefault="008B4CA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EE22412" w14:textId="77777777" w:rsidR="00C34946" w:rsidRDefault="0051091D">
        <w:pPr>
          <w:pStyle w:val="ab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90A3" w14:textId="77777777" w:rsidR="00C34946" w:rsidRDefault="00C349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0A"/>
    <w:multiLevelType w:val="multilevel"/>
    <w:tmpl w:val="24B6CFCE"/>
    <w:lvl w:ilvl="0">
      <w:start w:val="2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23C60C53"/>
    <w:multiLevelType w:val="multilevel"/>
    <w:tmpl w:val="1FE64130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30125EDD"/>
    <w:multiLevelType w:val="multilevel"/>
    <w:tmpl w:val="FDA0A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403736"/>
    <w:multiLevelType w:val="multilevel"/>
    <w:tmpl w:val="B7C80800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46"/>
    <w:rsid w:val="000716E3"/>
    <w:rsid w:val="00272B71"/>
    <w:rsid w:val="00304778"/>
    <w:rsid w:val="00400F73"/>
    <w:rsid w:val="0051091D"/>
    <w:rsid w:val="0060092B"/>
    <w:rsid w:val="007376D8"/>
    <w:rsid w:val="00795FA9"/>
    <w:rsid w:val="00875FA0"/>
    <w:rsid w:val="008B0254"/>
    <w:rsid w:val="008B4CA4"/>
    <w:rsid w:val="00AF27C4"/>
    <w:rsid w:val="00BB2E95"/>
    <w:rsid w:val="00C34946"/>
    <w:rsid w:val="00F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286"/>
  <w15:docId w15:val="{BA5DC272-5033-4E70-8AF3-6C79F58B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F74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4C0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qFormat/>
    <w:rsid w:val="00333F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qFormat/>
    <w:rsid w:val="00B9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2543F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7B58F9"/>
  </w:style>
  <w:style w:type="character" w:customStyle="1" w:styleId="ac">
    <w:name w:val="Нижний колонтитул Знак"/>
    <w:basedOn w:val="a0"/>
    <w:link w:val="ad"/>
    <w:uiPriority w:val="99"/>
    <w:qFormat/>
    <w:rsid w:val="007B58F9"/>
  </w:style>
  <w:style w:type="character" w:styleId="ae">
    <w:name w:val="Hyperlink"/>
    <w:basedOn w:val="a0"/>
    <w:uiPriority w:val="99"/>
    <w:unhideWhenUsed/>
    <w:rsid w:val="00614A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14A4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qFormat/>
    <w:rsid w:val="00204E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F745EA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qFormat/>
    <w:rsid w:val="004C00B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qFormat/>
    <w:rsid w:val="00333F57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qFormat/>
    <w:rsid w:val="00B951AE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8"/>
    <w:uiPriority w:val="99"/>
    <w:semiHidden/>
    <w:unhideWhenUsed/>
    <w:qFormat/>
    <w:rsid w:val="002543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204ED2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5">
    <w:name w:val="Текст в заданном формате"/>
    <w:basedOn w:val="a"/>
    <w:qFormat/>
    <w:rsid w:val="0039606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A4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mc@olimp1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A612-338E-4F39-B971-7E8E740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dc:description/>
  <cp:lastModifiedBy>asn</cp:lastModifiedBy>
  <cp:revision>2</cp:revision>
  <cp:lastPrinted>2023-10-31T11:51:00Z</cp:lastPrinted>
  <dcterms:created xsi:type="dcterms:W3CDTF">2023-11-01T03:33:00Z</dcterms:created>
  <dcterms:modified xsi:type="dcterms:W3CDTF">2023-11-01T03:33:00Z</dcterms:modified>
  <dc:language>ru-RU</dc:language>
</cp:coreProperties>
</file>